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西安分公司202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sz w:val="32"/>
          <w:szCs w:val="32"/>
        </w:rPr>
        <w:t>年安全</w:t>
      </w:r>
      <w:r>
        <w:rPr>
          <w:rFonts w:ascii="仿宋_GB2312" w:eastAsia="仿宋_GB2312"/>
          <w:b/>
          <w:sz w:val="32"/>
          <w:szCs w:val="32"/>
        </w:rPr>
        <w:t>风险</w:t>
      </w:r>
      <w:r>
        <w:rPr>
          <w:rFonts w:hint="eastAsia" w:ascii="仿宋_GB2312" w:eastAsia="仿宋_GB2312"/>
          <w:b/>
          <w:sz w:val="32"/>
          <w:szCs w:val="32"/>
        </w:rPr>
        <w:t>管控</w:t>
      </w:r>
      <w:r>
        <w:rPr>
          <w:rFonts w:ascii="仿宋_GB2312" w:eastAsia="仿宋_GB2312"/>
          <w:b/>
          <w:sz w:val="32"/>
          <w:szCs w:val="32"/>
        </w:rPr>
        <w:t>清单</w:t>
      </w:r>
    </w:p>
    <w:tbl>
      <w:tblPr>
        <w:tblStyle w:val="4"/>
        <w:tblW w:w="148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72"/>
        <w:gridCol w:w="5422"/>
        <w:gridCol w:w="993"/>
        <w:gridCol w:w="708"/>
        <w:gridCol w:w="1276"/>
        <w:gridCol w:w="851"/>
        <w:gridCol w:w="2976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序号</w:t>
            </w:r>
          </w:p>
        </w:tc>
        <w:tc>
          <w:tcPr>
            <w:tcW w:w="1072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风险名称</w:t>
            </w:r>
          </w:p>
        </w:tc>
        <w:tc>
          <w:tcPr>
            <w:tcW w:w="5422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危险、有害因素</w:t>
            </w:r>
          </w:p>
        </w:tc>
        <w:tc>
          <w:tcPr>
            <w:tcW w:w="993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可能导致的后果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风险等级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风险管控部门</w:t>
            </w:r>
          </w:p>
        </w:tc>
        <w:tc>
          <w:tcPr>
            <w:tcW w:w="851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管控责任人</w:t>
            </w:r>
          </w:p>
        </w:tc>
        <w:tc>
          <w:tcPr>
            <w:tcW w:w="2976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管控措施</w:t>
            </w:r>
          </w:p>
        </w:tc>
        <w:tc>
          <w:tcPr>
            <w:tcW w:w="1134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预期效果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物资采购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过程风险</w:t>
            </w:r>
          </w:p>
        </w:tc>
        <w:tc>
          <w:tcPr>
            <w:tcW w:w="5422" w:type="dxa"/>
            <w:vAlign w:val="center"/>
          </w:tcPr>
          <w:p>
            <w:pPr>
              <w:pStyle w:val="9"/>
              <w:widowControl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由于自然因素、经济政策等因素造成物资采购质量风险。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采购到不合格的物资，造成物资质量安全事故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业务一部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业务二部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业务三部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业务四部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物资管理部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负责物资采购的各业务员和质检专员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pStyle w:val="9"/>
              <w:widowControl/>
              <w:spacing w:line="280" w:lineRule="exact"/>
              <w:ind w:right="-107" w:rightChars="-51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zh-CN"/>
              </w:rPr>
              <w:t>、加强对国家政策、物资集团有关物资采购规定的学习，及时掌握国家政策动向和物资集团物资采购工作要求。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2、加强业务人员的专业知识和》《淘汰目录》学习，掌握物资的基本属性，采购符合使用要求的物资。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3、加强对职工的工作责任心教育，使职工爱岗敬业。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4、采购过程严格审核，发货通知有明确的物资质量资料要求，凭供货发票和相关送货资料进行入库结算。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5、与计划采购单位勤沟通，确保采购计划信息准确明了。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6、与供应商加强沟通协调，及时解决合同执行中存在的问题。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7、严格执行合同审批流程，合同中物资质量要求明确。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8、入库结算供应商必须提供质量证明材料方可入库结算。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9、加强对代储物资监督管理，保障物资质量。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10、对物资质量检验不合格的，按有关规定严格执行。</w:t>
            </w:r>
          </w:p>
          <w:p>
            <w:pPr>
              <w:pStyle w:val="9"/>
              <w:widowControl/>
              <w:jc w:val="both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9"/>
              <w:widowControl/>
              <w:spacing w:line="280" w:lineRule="exact"/>
              <w:ind w:right="-107" w:rightChars="-51"/>
              <w:jc w:val="center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物资采购过程风险可控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18" w:type="dxa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2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业务人员对使用单位采购要求不了解，采购过程把关审核不严，采购的物资不符合使用单位要求。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3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业务人员对要采购的物资属性没有掌握，采购到不符合使用单位要求的物资。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4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业务人员对《高耗能落后淘汰机电（产品）目录》没有熟练掌握，采购的物资为落后或淘汰产品，影响采购物资的质量。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5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业务人员缺乏责任心，没有认真对集采计划进行核对确认，采购的物资不符合使用单位要求。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6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供应商降低物资质量等级，以次充好，使采购的物资质量无法保障。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7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采购计划相关信息不全、不准，业务人员没有与计划方沟通，采购的物资与实际需求出现较大偏离。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8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合同或协议条款模糊，物资质量执行标准不明确，缺少约束条件，造成物资质量争议。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9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物资验收把关不严，数量上短斤少两，质量上以次充好，可能造成物资质量事故。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10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供应商没有提供合格证、检验报告、煤安证、材质单等质量证明材料。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中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11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代储寄售物资保养保管不善，造成物资质量下降。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1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12</w:t>
            </w:r>
          </w:p>
        </w:tc>
        <w:tc>
          <w:tcPr>
            <w:tcW w:w="1072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5422" w:type="dxa"/>
            <w:vAlign w:val="center"/>
          </w:tcPr>
          <w:p>
            <w:pPr>
              <w:pStyle w:val="9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物资质量抽检过程，发现物资</w:t>
            </w:r>
            <w:r>
              <w:rPr>
                <w:rStyle w:val="8"/>
                <w:rFonts w:hint="eastAsia" w:ascii="Times New Roman" w:hAnsi="宋体"/>
                <w:lang w:val="zh-CN"/>
              </w:rPr>
              <w:t>质量</w:t>
            </w:r>
            <w:r>
              <w:rPr>
                <w:rStyle w:val="8"/>
                <w:rFonts w:ascii="Times New Roman" w:hAnsi="宋体"/>
                <w:lang w:val="zh-CN"/>
              </w:rPr>
              <w:t>不合格。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中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976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</w:tbl>
    <w:p/>
    <w:p/>
    <w:p/>
    <w:p/>
    <w:p/>
    <w:tbl>
      <w:tblPr>
        <w:tblStyle w:val="4"/>
        <w:tblW w:w="148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96"/>
        <w:gridCol w:w="4819"/>
        <w:gridCol w:w="1560"/>
        <w:gridCol w:w="708"/>
        <w:gridCol w:w="993"/>
        <w:gridCol w:w="1134"/>
        <w:gridCol w:w="2551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序号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风险名称</w:t>
            </w: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危险、有害因素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可能导致的</w:t>
            </w:r>
          </w:p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后果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风险等级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风险管控部门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管控责任人</w:t>
            </w:r>
          </w:p>
        </w:tc>
        <w:tc>
          <w:tcPr>
            <w:tcW w:w="2551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管控措施</w:t>
            </w:r>
          </w:p>
        </w:tc>
        <w:tc>
          <w:tcPr>
            <w:tcW w:w="1559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预期效果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hint="default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en-US" w:eastAsia="zh-CN"/>
              </w:rPr>
              <w:t>13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hint="eastAsia"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售后风险</w:t>
            </w: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hint="eastAsia"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未及时对账，收款不及时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hint="eastAsia"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货款回收不及时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hint="eastAsia"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销售服务一部、二部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售后服务人员</w:t>
            </w:r>
          </w:p>
        </w:tc>
        <w:tc>
          <w:tcPr>
            <w:tcW w:w="2551" w:type="dxa"/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jc w:val="center"/>
              <w:rPr>
                <w:rStyle w:val="8"/>
                <w:rFonts w:hint="eastAsia" w:ascii="Times New Roman" w:hAnsi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en-US" w:eastAsia="zh-CN"/>
              </w:rPr>
              <w:t>定期核对资金余额表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jc w:val="both"/>
              <w:rPr>
                <w:rStyle w:val="8"/>
                <w:rFonts w:hint="eastAsia" w:ascii="Times New Roman" w:hAnsi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en-US" w:eastAsia="zh-CN"/>
              </w:rPr>
              <w:t>做好清欠台账</w:t>
            </w:r>
          </w:p>
        </w:tc>
        <w:tc>
          <w:tcPr>
            <w:tcW w:w="1559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按时收回货款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4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</w:t>
            </w:r>
          </w:p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办公风险</w:t>
            </w: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办公室电气插座、开关老化或损坏、带电体外露等。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触电事故，严重时人员伤亡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各部门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各办公室员工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1、加强职工安全意识和安全技能培训，及时发现安全隐患。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2、实施办公室定置管理，烟头等垃圾不得随手乱扔，并及时清理。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3、加强办公室安全巡查，发现问题，及时处理。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4、办公设备按照报废年限及时淘汰更新。</w:t>
            </w:r>
          </w:p>
          <w:p>
            <w:pPr>
              <w:pStyle w:val="9"/>
              <w:widowControl/>
              <w:spacing w:line="280" w:lineRule="exact"/>
              <w:jc w:val="both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5、办公室严禁私搭乱接，不得使用其他电器。</w:t>
            </w:r>
          </w:p>
          <w:p>
            <w:pPr>
              <w:pStyle w:val="9"/>
              <w:widowControl/>
              <w:jc w:val="both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6、下班关闭照明、办公设施电源，严格执行《办公室安全消防注意事项》规定。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pStyle w:val="9"/>
              <w:widowControl/>
              <w:spacing w:line="280" w:lineRule="exact"/>
              <w:jc w:val="center"/>
              <w:rPr>
                <w:rStyle w:val="8"/>
                <w:rFonts w:ascii="Times New Roman" w:hAnsi="宋体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sz w:val="18"/>
                <w:szCs w:val="18"/>
                <w:lang w:val="zh-CN"/>
              </w:rPr>
              <w:t>办公室触电、火灾、跌落扭伤等风险可控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5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办公室电器设备不良、电路老化，乱扔烟头引燃办公室易燃物等。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火灾事故，可能造成财产损失，人员伤亡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6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不遵守公司办公室管理规定，私搭乱接，违规使用其他电器等。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火灾事故，可能造成财产损失，人员伤亡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中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9"/>
              <w:widowControl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7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办公室杂物、垃圾未及时清理，或存放易燃物。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8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办公室人员下班离开未关闭电源，违规长时间使用其他电器。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eastAsia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1</w:t>
            </w:r>
            <w:r>
              <w:rPr>
                <w:rStyle w:val="8"/>
                <w:rFonts w:hint="eastAsia" w:ascii="Times New Roman" w:hAnsi="宋体"/>
                <w:lang w:val="en-US" w:eastAsia="zh-CN"/>
              </w:rPr>
              <w:t>9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办公室登高取物、登高悬挂宣传品等登高作业。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可能造成摔伤、扭伤，严重的可能造成骨折。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低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430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hint="default" w:ascii="Times New Roman" w:hAnsi="宋体" w:eastAsia="宋体"/>
                <w:lang w:val="en-US" w:eastAsia="zh-CN"/>
              </w:rPr>
            </w:pPr>
            <w:r>
              <w:rPr>
                <w:rStyle w:val="8"/>
                <w:rFonts w:hint="eastAsia" w:ascii="Times New Roman" w:hAnsi="宋体"/>
                <w:lang w:val="en-US" w:eastAsia="zh-CN"/>
              </w:rPr>
              <w:t>20</w:t>
            </w:r>
          </w:p>
        </w:tc>
        <w:tc>
          <w:tcPr>
            <w:tcW w:w="1096" w:type="dxa"/>
            <w:vAlign w:val="center"/>
          </w:tcPr>
          <w:p>
            <w:pPr>
              <w:pStyle w:val="9"/>
              <w:widowControl/>
              <w:snapToGrid w:val="0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公车外出风险</w:t>
            </w:r>
          </w:p>
        </w:tc>
        <w:tc>
          <w:tcPr>
            <w:tcW w:w="4819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驾驶员疲劳驾驶、酒后驾车、超速违章行驶等，车辆没有及时保养，带病行车。</w:t>
            </w:r>
          </w:p>
        </w:tc>
        <w:tc>
          <w:tcPr>
            <w:tcW w:w="1560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hint="eastAsia" w:ascii="Times New Roman" w:hAnsi="宋体"/>
                <w:lang w:val="zh-CN"/>
              </w:rPr>
              <w:t>易造成交通事故，驾乘人员受到伤害，车辆受损</w:t>
            </w:r>
          </w:p>
        </w:tc>
        <w:tc>
          <w:tcPr>
            <w:tcW w:w="708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/>
                <w:b/>
                <w:color w:val="FF0000"/>
                <w:lang w:val="zh-CN"/>
              </w:rPr>
            </w:pPr>
            <w:r>
              <w:rPr>
                <w:rStyle w:val="8"/>
                <w:rFonts w:hint="eastAsia" w:ascii="Times New Roman"/>
                <w:bCs/>
                <w:lang w:val="zh-CN"/>
              </w:rPr>
              <w:t>中</w:t>
            </w:r>
          </w:p>
        </w:tc>
        <w:tc>
          <w:tcPr>
            <w:tcW w:w="993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综合部</w:t>
            </w:r>
          </w:p>
        </w:tc>
        <w:tc>
          <w:tcPr>
            <w:tcW w:w="1134" w:type="dxa"/>
            <w:vAlign w:val="center"/>
          </w:tcPr>
          <w:p>
            <w:pPr>
              <w:pStyle w:val="9"/>
              <w:spacing w:line="240" w:lineRule="atLeast"/>
              <w:jc w:val="center"/>
              <w:rPr>
                <w:rStyle w:val="8"/>
                <w:rFonts w:ascii="Times New Roman" w:hAnsi="宋体"/>
                <w:lang w:val="zh-CN"/>
              </w:rPr>
            </w:pPr>
            <w:r>
              <w:rPr>
                <w:rStyle w:val="8"/>
                <w:rFonts w:ascii="Times New Roman" w:hAnsi="宋体"/>
                <w:lang w:val="zh-CN"/>
              </w:rPr>
              <w:t>驾驶员</w:t>
            </w:r>
          </w:p>
        </w:tc>
        <w:tc>
          <w:tcPr>
            <w:tcW w:w="2551" w:type="dxa"/>
            <w:vAlign w:val="center"/>
          </w:tcPr>
          <w:p>
            <w:pPr>
              <w:pStyle w:val="9"/>
              <w:widowControl/>
              <w:spacing w:line="240" w:lineRule="atLeast"/>
              <w:rPr>
                <w:rStyle w:val="8"/>
                <w:rFonts w:ascii="Times New Roman" w:hAnsi="宋体"/>
                <w:color w:val="000000"/>
                <w:sz w:val="18"/>
                <w:szCs w:val="18"/>
                <w:lang w:val="zh-CN"/>
              </w:rPr>
            </w:pPr>
            <w:r>
              <w:rPr>
                <w:rStyle w:val="8"/>
                <w:rFonts w:hint="eastAsia" w:ascii="Times New Roman" w:hAnsi="宋体"/>
                <w:color w:val="000000"/>
                <w:sz w:val="18"/>
                <w:szCs w:val="18"/>
                <w:lang w:val="zh-CN"/>
              </w:rPr>
              <w:t>1、</w:t>
            </w:r>
            <w:r>
              <w:rPr>
                <w:rStyle w:val="8"/>
                <w:rFonts w:ascii="Times New Roman" w:hAnsi="宋体"/>
                <w:color w:val="000000"/>
                <w:sz w:val="18"/>
                <w:szCs w:val="18"/>
                <w:lang w:val="zh-CN"/>
              </w:rPr>
              <w:t>加强驾驶员安全教育，做到驾驶车辆“四不准”。</w:t>
            </w:r>
          </w:p>
          <w:p>
            <w:pPr>
              <w:pStyle w:val="9"/>
              <w:widowControl/>
              <w:spacing w:line="240" w:lineRule="atLeast"/>
              <w:rPr>
                <w:rStyle w:val="8"/>
                <w:rFonts w:ascii="Times New Roman"/>
                <w:b/>
                <w:color w:val="FF0000"/>
                <w:lang w:val="zh-CN"/>
              </w:rPr>
            </w:pPr>
            <w:r>
              <w:rPr>
                <w:rStyle w:val="8"/>
                <w:rFonts w:hint="eastAsia" w:ascii="Times New Roman" w:hAnsi="宋体"/>
                <w:color w:val="000000"/>
                <w:sz w:val="18"/>
                <w:szCs w:val="18"/>
                <w:lang w:val="zh-CN"/>
              </w:rPr>
              <w:t>2、</w:t>
            </w:r>
            <w:r>
              <w:rPr>
                <w:rStyle w:val="8"/>
                <w:rFonts w:ascii="Times New Roman" w:hAnsi="宋体"/>
                <w:color w:val="000000"/>
                <w:sz w:val="18"/>
                <w:szCs w:val="18"/>
                <w:lang w:val="zh-CN"/>
              </w:rPr>
              <w:t>车辆及时维护保养，加强车辆日常检查，车辆不安全不出车。</w:t>
            </w:r>
          </w:p>
        </w:tc>
        <w:tc>
          <w:tcPr>
            <w:tcW w:w="1559" w:type="dxa"/>
            <w:vAlign w:val="center"/>
          </w:tcPr>
          <w:p>
            <w:pPr>
              <w:pStyle w:val="9"/>
              <w:widowControl/>
              <w:spacing w:line="240" w:lineRule="atLeast"/>
              <w:jc w:val="center"/>
              <w:rPr>
                <w:rStyle w:val="8"/>
                <w:rFonts w:ascii="Times New Roman" w:hAnsi="宋体"/>
                <w:color w:val="000000"/>
                <w:sz w:val="18"/>
                <w:szCs w:val="18"/>
                <w:lang w:val="zh-CN"/>
              </w:rPr>
            </w:pPr>
            <w:r>
              <w:rPr>
                <w:rStyle w:val="8"/>
                <w:rFonts w:ascii="Times New Roman" w:hAnsi="宋体"/>
                <w:color w:val="000000"/>
                <w:sz w:val="18"/>
                <w:szCs w:val="18"/>
                <w:lang w:val="zh-CN"/>
              </w:rPr>
              <w:t>公车外出风险可控</w:t>
            </w:r>
          </w:p>
        </w:tc>
      </w:tr>
    </w:tbl>
    <w:p>
      <w:pPr>
        <w:rPr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851" w:right="2552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12557"/>
    <w:multiLevelType w:val="singleLevel"/>
    <w:tmpl w:val="468125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lOTJiNGUzZTcyODQ1MWM4MWU0NjE1ZWY0MmMyMzUifQ=="/>
  </w:docVars>
  <w:rsids>
    <w:rsidRoot w:val="007C0B12"/>
    <w:rsid w:val="00011257"/>
    <w:rsid w:val="00054173"/>
    <w:rsid w:val="00070B87"/>
    <w:rsid w:val="0007188F"/>
    <w:rsid w:val="0016482F"/>
    <w:rsid w:val="001979AE"/>
    <w:rsid w:val="001C17F4"/>
    <w:rsid w:val="002608D0"/>
    <w:rsid w:val="00292771"/>
    <w:rsid w:val="00295E20"/>
    <w:rsid w:val="0034004A"/>
    <w:rsid w:val="00350B63"/>
    <w:rsid w:val="003A60D3"/>
    <w:rsid w:val="004B64C8"/>
    <w:rsid w:val="004C7BDA"/>
    <w:rsid w:val="004D3BB6"/>
    <w:rsid w:val="004F5CF1"/>
    <w:rsid w:val="00540B6A"/>
    <w:rsid w:val="00571E86"/>
    <w:rsid w:val="005A3347"/>
    <w:rsid w:val="005F6AE9"/>
    <w:rsid w:val="00685E31"/>
    <w:rsid w:val="006B7835"/>
    <w:rsid w:val="00701A7B"/>
    <w:rsid w:val="00746B90"/>
    <w:rsid w:val="0075058B"/>
    <w:rsid w:val="007C0B12"/>
    <w:rsid w:val="007F2997"/>
    <w:rsid w:val="0080356A"/>
    <w:rsid w:val="008B3821"/>
    <w:rsid w:val="008C5028"/>
    <w:rsid w:val="008E5CF7"/>
    <w:rsid w:val="009C2BF2"/>
    <w:rsid w:val="009F0C77"/>
    <w:rsid w:val="00A1633B"/>
    <w:rsid w:val="00A2383C"/>
    <w:rsid w:val="00A96114"/>
    <w:rsid w:val="00A96365"/>
    <w:rsid w:val="00AA5684"/>
    <w:rsid w:val="00AE1A61"/>
    <w:rsid w:val="00BC7209"/>
    <w:rsid w:val="00BD0966"/>
    <w:rsid w:val="00BE0A03"/>
    <w:rsid w:val="00D00B2A"/>
    <w:rsid w:val="00DF7CB4"/>
    <w:rsid w:val="00E25A14"/>
    <w:rsid w:val="00EC3542"/>
    <w:rsid w:val="00F3483B"/>
    <w:rsid w:val="00FA12C2"/>
    <w:rsid w:val="00FD4A36"/>
    <w:rsid w:val="00FF61BE"/>
    <w:rsid w:val="1D303B52"/>
    <w:rsid w:val="433C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  <w:style w:type="character" w:customStyle="1" w:styleId="8">
    <w:name w:val="Font Style13"/>
    <w:autoRedefine/>
    <w:qFormat/>
    <w:uiPriority w:val="0"/>
    <w:rPr>
      <w:rFonts w:ascii="宋体" w:eastAsia="宋体" w:cs="宋体"/>
      <w:sz w:val="20"/>
      <w:szCs w:val="20"/>
    </w:rPr>
  </w:style>
  <w:style w:type="paragraph" w:customStyle="1" w:styleId="9">
    <w:name w:val="Style5"/>
    <w:basedOn w:val="1"/>
    <w:autoRedefine/>
    <w:qFormat/>
    <w:uiPriority w:val="0"/>
    <w:pPr>
      <w:adjustRightInd w:val="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1498</Characters>
  <Lines>12</Lines>
  <Paragraphs>3</Paragraphs>
  <TotalTime>309</TotalTime>
  <ScaleCrop>false</ScaleCrop>
  <LinksUpToDate>false</LinksUpToDate>
  <CharactersWithSpaces>1757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2023-05-05T00:44:00Z</dcterms:created>
  <dc:creator>l'x</dc:creator>
  <cp:lastModifiedBy>罗一凡</cp:lastModifiedBy>
  <dcterms:modified xsi:type="dcterms:W3CDTF">2024-04-24T08:01:42Z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DE0E4325B6234B6BB3E76B2C9FD2025F_12</vt:lpwstr>
  </property>
</Properties>
</file>